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930" w:rsidRDefault="002A7B68">
      <w:pPr>
        <w:rPr>
          <w:rFonts w:ascii="Californian FB" w:hAnsi="Californian FB"/>
          <w:b/>
          <w:sz w:val="40"/>
          <w:szCs w:val="40"/>
        </w:rPr>
      </w:pPr>
      <w:r>
        <w:rPr>
          <w:rFonts w:ascii="Californian FB" w:hAnsi="Californian FB"/>
          <w:b/>
          <w:sz w:val="40"/>
          <w:szCs w:val="40"/>
        </w:rPr>
        <w:t>Victorville</w:t>
      </w:r>
    </w:p>
    <w:p w:rsidR="002A7B68" w:rsidRDefault="002A7B68">
      <w:pPr>
        <w:rPr>
          <w:rFonts w:ascii="Californian FB" w:hAnsi="Californian FB"/>
          <w:b/>
          <w:sz w:val="40"/>
          <w:szCs w:val="40"/>
        </w:rPr>
      </w:pPr>
      <w:r>
        <w:rPr>
          <w:rFonts w:ascii="Californian FB" w:hAnsi="Californian FB"/>
          <w:b/>
          <w:sz w:val="40"/>
          <w:szCs w:val="40"/>
        </w:rPr>
        <w:t>1</w:t>
      </w:r>
      <w:r w:rsidRPr="002A7B68">
        <w:rPr>
          <w:rFonts w:ascii="Californian FB" w:hAnsi="Californian FB"/>
          <w:b/>
          <w:sz w:val="40"/>
          <w:szCs w:val="40"/>
          <w:vertAlign w:val="superscript"/>
        </w:rPr>
        <w:t>st</w:t>
      </w:r>
      <w:r>
        <w:rPr>
          <w:rFonts w:ascii="Californian FB" w:hAnsi="Californian FB"/>
          <w:b/>
          <w:sz w:val="40"/>
          <w:szCs w:val="40"/>
        </w:rPr>
        <w:t xml:space="preserve"> and 2</w:t>
      </w:r>
      <w:r w:rsidRPr="002A7B68">
        <w:rPr>
          <w:rFonts w:ascii="Californian FB" w:hAnsi="Californian FB"/>
          <w:b/>
          <w:sz w:val="40"/>
          <w:szCs w:val="40"/>
          <w:vertAlign w:val="superscript"/>
        </w:rPr>
        <w:t>nd</w:t>
      </w:r>
      <w:r>
        <w:rPr>
          <w:rFonts w:ascii="Californian FB" w:hAnsi="Californian FB"/>
          <w:b/>
          <w:sz w:val="40"/>
          <w:szCs w:val="40"/>
        </w:rPr>
        <w:t xml:space="preserve"> Quarters Combined</w:t>
      </w:r>
    </w:p>
    <w:p w:rsidR="002A7B68" w:rsidRDefault="002A7B68">
      <w:pPr>
        <w:rPr>
          <w:rFonts w:ascii="Californian FB" w:hAnsi="Californian FB"/>
          <w:b/>
          <w:sz w:val="40"/>
          <w:szCs w:val="40"/>
        </w:rPr>
      </w:pPr>
    </w:p>
    <w:p w:rsidR="002A7B68" w:rsidRPr="002A7B68" w:rsidRDefault="002A7B68">
      <w:pPr>
        <w:rPr>
          <w:rFonts w:ascii="Californian FB" w:hAnsi="Californian FB"/>
          <w:b/>
          <w:sz w:val="40"/>
          <w:szCs w:val="40"/>
        </w:rPr>
      </w:pPr>
      <w:bookmarkStart w:id="0" w:name="_GoBack"/>
      <w:r>
        <w:rPr>
          <w:noProof/>
        </w:rPr>
        <w:drawing>
          <wp:inline distT="0" distB="0" distL="0" distR="0" wp14:anchorId="2CA01647" wp14:editId="1372A44B">
            <wp:extent cx="9296400" cy="5895975"/>
            <wp:effectExtent l="0" t="0" r="0" b="9525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sectPr w:rsidR="002A7B68" w:rsidRPr="002A7B68" w:rsidSect="002A7B68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B68"/>
    <w:rsid w:val="000C6A2A"/>
    <w:rsid w:val="00206930"/>
    <w:rsid w:val="002A7B68"/>
    <w:rsid w:val="00527D24"/>
    <w:rsid w:val="00F0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D942A6-089F-40BA-8584-26B12E7CA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i="1">
                <a:latin typeface="Californian FB" panose="0207040306080B030204" pitchFamily="18" charset="0"/>
              </a:rPr>
              <a:t>916 Homes Sold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[Template.xlsx]Sheet1!$B$1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[Template.xlsx]Sheet1!$A$2:$A$15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[Template.xlsx]Sheet1!$B$2:$B$15</c:f>
              <c:numCache>
                <c:formatCode>General</c:formatCode>
                <c:ptCount val="14"/>
                <c:pt idx="0">
                  <c:v>22</c:v>
                </c:pt>
                <c:pt idx="1">
                  <c:v>48</c:v>
                </c:pt>
                <c:pt idx="2">
                  <c:v>77</c:v>
                </c:pt>
                <c:pt idx="3">
                  <c:v>157</c:v>
                </c:pt>
                <c:pt idx="4">
                  <c:v>194</c:v>
                </c:pt>
                <c:pt idx="5">
                  <c:v>208</c:v>
                </c:pt>
                <c:pt idx="6">
                  <c:v>105</c:v>
                </c:pt>
                <c:pt idx="7">
                  <c:v>72</c:v>
                </c:pt>
                <c:pt idx="8">
                  <c:v>24</c:v>
                </c:pt>
                <c:pt idx="9">
                  <c:v>6</c:v>
                </c:pt>
                <c:pt idx="10">
                  <c:v>2</c:v>
                </c:pt>
                <c:pt idx="12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223813824"/>
        <c:axId val="224221072"/>
        <c:axId val="0"/>
      </c:bar3DChart>
      <c:catAx>
        <c:axId val="22381382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24221072"/>
        <c:crosses val="autoZero"/>
        <c:auto val="1"/>
        <c:lblAlgn val="ctr"/>
        <c:lblOffset val="100"/>
        <c:noMultiLvlLbl val="0"/>
      </c:catAx>
      <c:valAx>
        <c:axId val="224221072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2238138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0.15881</cdr:x>
      <cdr:y>0.19548</cdr:y>
    </cdr:from>
    <cdr:to>
      <cdr:x>0.45082</cdr:x>
      <cdr:y>0.23586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1476375" y="1152525"/>
          <a:ext cx="271462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SqFt</a:t>
          </a:r>
          <a:r>
            <a:rPr lang="en-US" sz="1100" b="1" i="1" baseline="0"/>
            <a:t> 3,518 </a:t>
          </a:r>
          <a:r>
            <a:rPr lang="en-US" sz="1100" i="1" baseline="0"/>
            <a:t>- Year Built </a:t>
          </a:r>
          <a:r>
            <a:rPr lang="en-US" sz="1100" b="1" i="1" baseline="0"/>
            <a:t>2004</a:t>
          </a:r>
          <a:endParaRPr lang="en-US" sz="1100" b="1" i="1"/>
        </a:p>
      </cdr:txBody>
    </cdr:sp>
  </cdr:relSizeAnchor>
  <cdr:relSizeAnchor xmlns:cdr="http://schemas.openxmlformats.org/drawingml/2006/chartDrawing">
    <cdr:from>
      <cdr:x>0.15984</cdr:x>
      <cdr:y>0.31502</cdr:y>
    </cdr:from>
    <cdr:to>
      <cdr:x>0.47643</cdr:x>
      <cdr:y>0.35864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1485899" y="1857375"/>
          <a:ext cx="294322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</a:t>
          </a:r>
          <a:r>
            <a:rPr lang="en-US" sz="1100" i="1" baseline="0"/>
            <a:t> </a:t>
          </a:r>
          <a:r>
            <a:rPr lang="en-US" sz="1100" b="1" i="1" baseline="0"/>
            <a:t>2,379</a:t>
          </a:r>
          <a:r>
            <a:rPr lang="en-US" sz="1100" i="1" baseline="0"/>
            <a:t> - Average Year Built </a:t>
          </a:r>
          <a:r>
            <a:rPr lang="en-US" sz="1100" b="1" i="1" baseline="0"/>
            <a:t>1982</a:t>
          </a:r>
          <a:endParaRPr lang="en-US" sz="1100" b="1" i="1"/>
        </a:p>
      </cdr:txBody>
    </cdr:sp>
  </cdr:relSizeAnchor>
  <cdr:relSizeAnchor xmlns:cdr="http://schemas.openxmlformats.org/drawingml/2006/chartDrawing">
    <cdr:from>
      <cdr:x>0.15881</cdr:x>
      <cdr:y>0.38288</cdr:y>
    </cdr:from>
    <cdr:to>
      <cdr:x>0.50205</cdr:x>
      <cdr:y>0.42165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1476375" y="2257425"/>
          <a:ext cx="3190875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 </a:t>
          </a:r>
          <a:r>
            <a:rPr lang="en-US" sz="1100" b="1" i="1"/>
            <a:t>3,366</a:t>
          </a:r>
          <a:r>
            <a:rPr lang="en-US" sz="1100" i="1" baseline="0"/>
            <a:t> - Average Year Built </a:t>
          </a:r>
          <a:r>
            <a:rPr lang="en-US" sz="1100" b="1" i="1" baseline="0"/>
            <a:t>2005</a:t>
          </a:r>
          <a:endParaRPr lang="en-US" sz="1100" b="1" i="1"/>
        </a:p>
      </cdr:txBody>
    </cdr:sp>
  </cdr:relSizeAnchor>
  <cdr:relSizeAnchor xmlns:cdr="http://schemas.openxmlformats.org/drawingml/2006/chartDrawing">
    <cdr:from>
      <cdr:x>0.15881</cdr:x>
      <cdr:y>0.44426</cdr:y>
    </cdr:from>
    <cdr:to>
      <cdr:x>0.50922</cdr:x>
      <cdr:y>0.48465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1476375" y="2619375"/>
          <a:ext cx="3257550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 </a:t>
          </a:r>
          <a:r>
            <a:rPr lang="en-US" sz="1100" b="1" i="1"/>
            <a:t>3,003</a:t>
          </a:r>
          <a:r>
            <a:rPr lang="en-US" sz="1100" i="1"/>
            <a:t> - Average Year Built </a:t>
          </a:r>
          <a:r>
            <a:rPr lang="en-US" sz="1100" b="1" i="1"/>
            <a:t>2003</a:t>
          </a:r>
        </a:p>
      </cdr:txBody>
    </cdr:sp>
  </cdr:relSizeAnchor>
  <cdr:relSizeAnchor xmlns:cdr="http://schemas.openxmlformats.org/drawingml/2006/chartDrawing">
    <cdr:from>
      <cdr:x>0.15779</cdr:x>
      <cdr:y>0.50727</cdr:y>
    </cdr:from>
    <cdr:to>
      <cdr:x>0.49385</cdr:x>
      <cdr:y>0.54604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466850" y="2990850"/>
          <a:ext cx="3124200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 </a:t>
          </a:r>
          <a:r>
            <a:rPr lang="en-US" sz="1100" b="1" i="1"/>
            <a:t>2,894</a:t>
          </a:r>
          <a:r>
            <a:rPr lang="en-US" sz="1100" i="1"/>
            <a:t> - Average Year Built </a:t>
          </a:r>
          <a:r>
            <a:rPr lang="en-US" sz="1100" b="1" i="0"/>
            <a:t>2003</a:t>
          </a:r>
        </a:p>
      </cdr:txBody>
    </cdr:sp>
  </cdr:relSizeAnchor>
  <cdr:relSizeAnchor xmlns:cdr="http://schemas.openxmlformats.org/drawingml/2006/chartDrawing">
    <cdr:from>
      <cdr:x>0.15779</cdr:x>
      <cdr:y>0.56866</cdr:y>
    </cdr:from>
    <cdr:to>
      <cdr:x>0.5041</cdr:x>
      <cdr:y>0.60743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466850" y="3352800"/>
          <a:ext cx="3219450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</a:t>
          </a:r>
          <a:r>
            <a:rPr lang="en-US" sz="1100" i="1" baseline="0"/>
            <a:t> </a:t>
          </a:r>
          <a:r>
            <a:rPr lang="en-US" sz="1100" b="1" i="1" baseline="0"/>
            <a:t>2,458</a:t>
          </a:r>
          <a:r>
            <a:rPr lang="en-US" sz="1100" i="1" baseline="0"/>
            <a:t> - Average Year Built </a:t>
          </a:r>
          <a:r>
            <a:rPr lang="en-US" sz="1100" b="1" i="1" baseline="0"/>
            <a:t>2001</a:t>
          </a:r>
          <a:endParaRPr lang="en-US" sz="1100" b="1" i="1"/>
        </a:p>
      </cdr:txBody>
    </cdr:sp>
  </cdr:relSizeAnchor>
  <cdr:relSizeAnchor xmlns:cdr="http://schemas.openxmlformats.org/drawingml/2006/chartDrawing">
    <cdr:from>
      <cdr:x>0.15881</cdr:x>
      <cdr:y>0.63005</cdr:y>
    </cdr:from>
    <cdr:to>
      <cdr:x>0.48156</cdr:x>
      <cdr:y>0.67044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1476375" y="3714750"/>
          <a:ext cx="300037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</a:t>
          </a:r>
          <a:r>
            <a:rPr lang="en-US" sz="1100" i="1" baseline="0"/>
            <a:t> </a:t>
          </a:r>
          <a:r>
            <a:rPr lang="en-US" sz="1100" b="1" i="1" baseline="0"/>
            <a:t>2,057</a:t>
          </a:r>
          <a:r>
            <a:rPr lang="en-US" sz="1100" i="1" baseline="0"/>
            <a:t> - Average Year Built </a:t>
          </a:r>
          <a:r>
            <a:rPr lang="en-US" sz="1100" b="1" i="1" baseline="0"/>
            <a:t>2000</a:t>
          </a:r>
          <a:endParaRPr lang="en-US" sz="1100" b="1" i="1"/>
        </a:p>
      </cdr:txBody>
    </cdr:sp>
  </cdr:relSizeAnchor>
  <cdr:relSizeAnchor xmlns:cdr="http://schemas.openxmlformats.org/drawingml/2006/chartDrawing">
    <cdr:from>
      <cdr:x>0.15881</cdr:x>
      <cdr:y>0.69144</cdr:y>
    </cdr:from>
    <cdr:to>
      <cdr:x>0.49488</cdr:x>
      <cdr:y>0.73344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476375" y="4076700"/>
          <a:ext cx="3124200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 </a:t>
          </a:r>
          <a:r>
            <a:rPr lang="en-US" sz="1100" b="1" i="1"/>
            <a:t>1,780</a:t>
          </a:r>
          <a:r>
            <a:rPr lang="en-US" sz="1100" i="1"/>
            <a:t> - Average Year Built </a:t>
          </a:r>
          <a:r>
            <a:rPr lang="en-US" sz="1100" b="1" i="1"/>
            <a:t>1996</a:t>
          </a:r>
        </a:p>
      </cdr:txBody>
    </cdr:sp>
  </cdr:relSizeAnchor>
  <cdr:relSizeAnchor xmlns:cdr="http://schemas.openxmlformats.org/drawingml/2006/chartDrawing">
    <cdr:from>
      <cdr:x>0.15881</cdr:x>
      <cdr:y>0.75444</cdr:y>
    </cdr:from>
    <cdr:to>
      <cdr:x>0.5082</cdr:x>
      <cdr:y>0.79483</cdr:y>
    </cdr:to>
    <cdr:sp macro="" textlink="">
      <cdr:nvSpPr>
        <cdr:cNvPr id="10" name="Text Box 9"/>
        <cdr:cNvSpPr txBox="1"/>
      </cdr:nvSpPr>
      <cdr:spPr>
        <a:xfrm xmlns:a="http://schemas.openxmlformats.org/drawingml/2006/main">
          <a:off x="1476375" y="4448175"/>
          <a:ext cx="324802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 </a:t>
          </a:r>
          <a:r>
            <a:rPr lang="en-US" sz="1100" b="1" i="1"/>
            <a:t>1,554</a:t>
          </a:r>
          <a:r>
            <a:rPr lang="en-US" sz="1100" i="1"/>
            <a:t> - Average Year Built </a:t>
          </a:r>
          <a:r>
            <a:rPr lang="en-US" sz="1100" b="1" i="1"/>
            <a:t>1991</a:t>
          </a:r>
        </a:p>
      </cdr:txBody>
    </cdr:sp>
  </cdr:relSizeAnchor>
  <cdr:relSizeAnchor xmlns:cdr="http://schemas.openxmlformats.org/drawingml/2006/chartDrawing">
    <cdr:from>
      <cdr:x>0.15984</cdr:x>
      <cdr:y>0.81422</cdr:y>
    </cdr:from>
    <cdr:to>
      <cdr:x>0.49283</cdr:x>
      <cdr:y>0.85622</cdr:y>
    </cdr:to>
    <cdr:sp macro="" textlink="">
      <cdr:nvSpPr>
        <cdr:cNvPr id="11" name="Text Box 10"/>
        <cdr:cNvSpPr txBox="1"/>
      </cdr:nvSpPr>
      <cdr:spPr>
        <a:xfrm xmlns:a="http://schemas.openxmlformats.org/drawingml/2006/main">
          <a:off x="1485900" y="4800600"/>
          <a:ext cx="309562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</a:t>
          </a:r>
          <a:r>
            <a:rPr lang="en-US" sz="1100" i="1" baseline="0"/>
            <a:t> SqFt </a:t>
          </a:r>
          <a:r>
            <a:rPr lang="en-US" sz="1100" b="1" i="1" baseline="0"/>
            <a:t>1,292 </a:t>
          </a:r>
          <a:r>
            <a:rPr lang="en-US" sz="1100" i="1" baseline="0"/>
            <a:t>- Average Year Built </a:t>
          </a:r>
          <a:r>
            <a:rPr lang="en-US" sz="1100" b="1" i="1" baseline="0"/>
            <a:t>1983</a:t>
          </a:r>
          <a:endParaRPr lang="en-US" sz="1100" b="1" i="1"/>
        </a:p>
      </cdr:txBody>
    </cdr:sp>
  </cdr:relSizeAnchor>
  <cdr:relSizeAnchor xmlns:cdr="http://schemas.openxmlformats.org/drawingml/2006/chartDrawing">
    <cdr:from>
      <cdr:x>0.15881</cdr:x>
      <cdr:y>0.87884</cdr:y>
    </cdr:from>
    <cdr:to>
      <cdr:x>0.49795</cdr:x>
      <cdr:y>0.91922</cdr:y>
    </cdr:to>
    <cdr:sp macro="" textlink="">
      <cdr:nvSpPr>
        <cdr:cNvPr id="12" name="Text Box 11"/>
        <cdr:cNvSpPr txBox="1"/>
      </cdr:nvSpPr>
      <cdr:spPr>
        <a:xfrm xmlns:a="http://schemas.openxmlformats.org/drawingml/2006/main">
          <a:off x="1476375" y="5181600"/>
          <a:ext cx="315277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 </a:t>
          </a:r>
          <a:r>
            <a:rPr lang="en-US" sz="1100" b="1" i="1"/>
            <a:t>1,376</a:t>
          </a:r>
          <a:r>
            <a:rPr lang="en-US" sz="1100" b="1" i="1" baseline="0"/>
            <a:t> </a:t>
          </a:r>
          <a:r>
            <a:rPr lang="en-US" sz="1100" i="1"/>
            <a:t>- Average Year</a:t>
          </a:r>
          <a:r>
            <a:rPr lang="en-US" sz="1100" i="1" baseline="0"/>
            <a:t> Built </a:t>
          </a:r>
          <a:r>
            <a:rPr lang="en-US" sz="1100" b="1" i="1" baseline="0"/>
            <a:t>1975</a:t>
          </a:r>
          <a:endParaRPr lang="en-US" sz="1100" b="1" i="1"/>
        </a:p>
      </cdr:txBody>
    </cdr:sp>
  </cdr:relSizeAnchor>
  <cdr:relSizeAnchor xmlns:cdr="http://schemas.openxmlformats.org/drawingml/2006/chartDrawing">
    <cdr:from>
      <cdr:x>0.15881</cdr:x>
      <cdr:y>0.93861</cdr:y>
    </cdr:from>
    <cdr:to>
      <cdr:x>0.48361</cdr:x>
      <cdr:y>0.98384</cdr:y>
    </cdr:to>
    <cdr:sp macro="" textlink="">
      <cdr:nvSpPr>
        <cdr:cNvPr id="13" name="Text Box 12"/>
        <cdr:cNvSpPr txBox="1"/>
      </cdr:nvSpPr>
      <cdr:spPr>
        <a:xfrm xmlns:a="http://schemas.openxmlformats.org/drawingml/2006/main">
          <a:off x="1476375" y="5534025"/>
          <a:ext cx="3019425" cy="26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 i="1"/>
            <a:t>Average SqFt </a:t>
          </a:r>
          <a:r>
            <a:rPr lang="en-US" sz="1100" b="1" i="1"/>
            <a:t>1,332</a:t>
          </a:r>
          <a:r>
            <a:rPr lang="en-US" sz="1100" i="1"/>
            <a:t> - Average Year Built </a:t>
          </a:r>
          <a:r>
            <a:rPr lang="en-US" sz="1100" b="1" i="1"/>
            <a:t>1968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Fidelity National Financial</Company>
  <LinksUpToDate>false</LinksUpToDate>
  <CharactersWithSpaces>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Jason</dc:creator>
  <cp:keywords/>
  <dc:description/>
  <cp:lastModifiedBy>Walker, Jason</cp:lastModifiedBy>
  <cp:revision>2</cp:revision>
  <dcterms:created xsi:type="dcterms:W3CDTF">2017-08-07T20:05:00Z</dcterms:created>
  <dcterms:modified xsi:type="dcterms:W3CDTF">2017-08-07T20:42:00Z</dcterms:modified>
</cp:coreProperties>
</file>